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108" w:rsidRDefault="00057DE9" w:rsidP="00B54108">
      <w:pPr>
        <w:spacing w:line="360" w:lineRule="auto"/>
        <w:jc w:val="both"/>
        <w:rPr>
          <w:rFonts w:ascii="Arial" w:hAnsi="Arial" w:cs="Arial"/>
        </w:rPr>
      </w:pPr>
      <w:r w:rsidRPr="00057DE9">
        <w:rPr>
          <w:rFonts w:ascii="Arial" w:hAnsi="Arial" w:cs="Arial"/>
          <w:b/>
        </w:rPr>
        <w:t>ARRENDAMIENTOS. Subarriendo de vivienda</w:t>
      </w:r>
      <w:r>
        <w:rPr>
          <w:rFonts w:ascii="Arial" w:hAnsi="Arial" w:cs="Arial"/>
        </w:rPr>
        <w:t xml:space="preserve">. </w:t>
      </w:r>
      <w:r w:rsidR="00B54108" w:rsidRPr="00057DE9">
        <w:rPr>
          <w:rFonts w:ascii="Arial" w:hAnsi="Arial" w:cs="Arial"/>
        </w:rPr>
        <w:t>Requisitos</w:t>
      </w:r>
      <w:r>
        <w:rPr>
          <w:rFonts w:ascii="Arial" w:hAnsi="Arial" w:cs="Arial"/>
        </w:rPr>
        <w:t xml:space="preserve">. </w:t>
      </w:r>
      <w:r w:rsidR="00B54108" w:rsidRPr="00057DE9">
        <w:rPr>
          <w:rFonts w:ascii="Arial" w:hAnsi="Arial" w:cs="Arial"/>
        </w:rPr>
        <w:t xml:space="preserve">Como se ha avanzado, a diferencia de la cesión que es contrato traslativo de la relación arrendaticia de la persona del arrendatario a un tercero, el subarriendo supone un nuevo contrato de arrendamiento por parte del arrendatario que convive con el contrato arrendaticio en su día suscrito por él.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Frente a la ideología del art. 11.1 LAU 1964 conforme a la que las viviendas podían subarrendarse total o parcialmente, conceptuando como total el subarriendo que recae sobre la totalidad de las habitaciones de la vivienda arrendada, y parcial el celebrado sobre alguna de las mentadas habitaciones, el art. 8.2 LAU 1994 sólo admite el subarriendo parcial de la vivienda arrendada. Si en el vigente ordenamiento arrendaticio se vertebra mediante la identificación y protección especial mediante Derecho necesario de los contratos caracterizados por recaer sobre edificaciones habitables cuyo destino primordial sea satisfacer la necesidad permanente de vivienda del arrendatario (arts. 1 y 2.1 LAU 1994), resultaría perfectamente incoherente dicha protección para el subarriendo total, que supone la desaparición física del arrendatario de la vivienda arrendada, manteniendo su condición jurídica de arrendatario, ya que decaería la funcionalidad de la finca arrendada justificativa de aquélla.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Por consiguiente, los requisitos del subarriendo en la actualidad son: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 Tener por objeto sólo una parte de la vivienda arrendada, o positivamente, que el arrendatario que se mantenga como titular del contrato subarrendado persevere ocupando la vivienda.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No hay, por lo tanto, limitaciones al número de subrogaciones parciales, sin que haya nada que impida que se subarriende a dos o más personas o familias, una o más veces, pero siempre con la exigencia de que el arrendatario </w:t>
      </w:r>
      <w:r w:rsidRPr="00057DE9">
        <w:rPr>
          <w:rFonts w:ascii="Arial" w:hAnsi="Arial" w:cs="Arial"/>
        </w:rPr>
        <w:lastRenderedPageBreak/>
        <w:t xml:space="preserve">siga ocupando la vivienda, puesto que en otro caso estaríamos en una cesión con novación subjetiva completa.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 El segundo requisito es la presencia del consentimiento del arrendador, acto volitivo, que expresamente debe adornarse con arreglo a la Ley de dos caracteres: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 Ser previo a la operación, de manera que el consentimiento prestado con posterioridad no convalida el subarriendo, ni representa renuncia a la acción resolutoria por subarriendo </w:t>
      </w:r>
      <w:proofErr w:type="spellStart"/>
      <w:r w:rsidRPr="00057DE9">
        <w:rPr>
          <w:rFonts w:ascii="Arial" w:hAnsi="Arial" w:cs="Arial"/>
        </w:rPr>
        <w:t>inconsentido</w:t>
      </w:r>
      <w:proofErr w:type="spellEnd"/>
      <w:r w:rsidRPr="00057DE9">
        <w:rPr>
          <w:rFonts w:ascii="Arial" w:hAnsi="Arial" w:cs="Arial"/>
        </w:rPr>
        <w:t xml:space="preserve">, si bien, atendiendo a las circunstancias concurrentes, pudiera ser apreciado por los tribunales un ejercicio de mala fe de los derechos del arrendador, digno de ser repelido ex arts. 7.1 </w:t>
      </w:r>
      <w:proofErr w:type="spellStart"/>
      <w:r w:rsidRPr="00057DE9">
        <w:rPr>
          <w:rFonts w:ascii="Arial" w:hAnsi="Arial" w:cs="Arial"/>
        </w:rPr>
        <w:t>CCiv</w:t>
      </w:r>
      <w:proofErr w:type="spellEnd"/>
      <w:r w:rsidRPr="00057DE9">
        <w:rPr>
          <w:rFonts w:ascii="Arial" w:hAnsi="Arial" w:cs="Arial"/>
        </w:rPr>
        <w:t xml:space="preserve"> y 11.1 LOPJ. </w:t>
      </w:r>
    </w:p>
    <w:p w:rsidR="00057DE9" w:rsidRPr="00057DE9" w:rsidRDefault="00057DE9" w:rsidP="00B54108">
      <w:pPr>
        <w:spacing w:line="360" w:lineRule="auto"/>
        <w:jc w:val="both"/>
        <w:rPr>
          <w:rFonts w:ascii="Arial" w:hAnsi="Arial" w:cs="Arial"/>
        </w:rPr>
      </w:pPr>
    </w:p>
    <w:p w:rsidR="00B54108" w:rsidRDefault="00B54108" w:rsidP="00B54108">
      <w:pPr>
        <w:spacing w:line="360" w:lineRule="auto"/>
        <w:jc w:val="both"/>
        <w:rPr>
          <w:rFonts w:ascii="Arial" w:hAnsi="Arial" w:cs="Arial"/>
        </w:rPr>
      </w:pPr>
      <w:r w:rsidRPr="00057DE9">
        <w:rPr>
          <w:rFonts w:ascii="Arial" w:hAnsi="Arial" w:cs="Arial"/>
        </w:rPr>
        <w:t xml:space="preserve">- Ser escrito. De este requisito de forma "ad </w:t>
      </w:r>
      <w:proofErr w:type="spellStart"/>
      <w:r w:rsidRPr="00057DE9">
        <w:rPr>
          <w:rFonts w:ascii="Arial" w:hAnsi="Arial" w:cs="Arial"/>
        </w:rPr>
        <w:t>solemnitatem</w:t>
      </w:r>
      <w:proofErr w:type="spellEnd"/>
      <w:r w:rsidRPr="00057DE9">
        <w:rPr>
          <w:rFonts w:ascii="Arial" w:hAnsi="Arial" w:cs="Arial"/>
        </w:rPr>
        <w:t xml:space="preserve">", en la dicción legal, que no se conforma con exigir la </w:t>
      </w:r>
      <w:proofErr w:type="spellStart"/>
      <w:r w:rsidRPr="00057DE9">
        <w:rPr>
          <w:rFonts w:ascii="Arial" w:hAnsi="Arial" w:cs="Arial"/>
        </w:rPr>
        <w:t>fehaciencia</w:t>
      </w:r>
      <w:proofErr w:type="spellEnd"/>
      <w:r w:rsidRPr="00057DE9">
        <w:rPr>
          <w:rFonts w:ascii="Arial" w:hAnsi="Arial" w:cs="Arial"/>
        </w:rPr>
        <w:t xml:space="preserve"> del consentimiento, ni arbitra un sistema de comunicación </w:t>
      </w:r>
      <w:proofErr w:type="spellStart"/>
      <w:r w:rsidRPr="00057DE9">
        <w:rPr>
          <w:rFonts w:ascii="Arial" w:hAnsi="Arial" w:cs="Arial"/>
        </w:rPr>
        <w:t>intimadora</w:t>
      </w:r>
      <w:proofErr w:type="spellEnd"/>
      <w:r w:rsidRPr="00057DE9">
        <w:rPr>
          <w:rFonts w:ascii="Arial" w:hAnsi="Arial" w:cs="Arial"/>
        </w:rPr>
        <w:t xml:space="preserve"> de ésta al arrendador, valga la misma. </w:t>
      </w:r>
    </w:p>
    <w:p w:rsidR="00057DE9" w:rsidRPr="00057DE9" w:rsidRDefault="00057DE9" w:rsidP="00B54108">
      <w:pPr>
        <w:spacing w:line="360" w:lineRule="auto"/>
        <w:jc w:val="both"/>
        <w:rPr>
          <w:rFonts w:ascii="Arial" w:hAnsi="Arial" w:cs="Arial"/>
        </w:rPr>
      </w:pPr>
    </w:p>
    <w:p w:rsidR="00B54108" w:rsidRPr="00057DE9" w:rsidRDefault="00B54108" w:rsidP="00B54108">
      <w:pPr>
        <w:spacing w:line="360" w:lineRule="auto"/>
        <w:jc w:val="both"/>
        <w:rPr>
          <w:rFonts w:ascii="Arial" w:hAnsi="Arial" w:cs="Arial"/>
        </w:rPr>
      </w:pPr>
      <w:r w:rsidRPr="00057DE9">
        <w:rPr>
          <w:rFonts w:ascii="Arial" w:hAnsi="Arial" w:cs="Arial"/>
        </w:rPr>
        <w:t xml:space="preserve">• La regulación de la LAU 1964 se entretenía con minuciosidad sobre los requisitos del subarriendo de cara a la estipulación de la renta del subarriendo, así como con relación a la incidencia que el subarriendo tenía en el acervo patrimonial del arrendador: El importe máximo del precio del subarriendo era el doble de la renta arrendaticia en los subarriendos totales, y la cantidad resultante de dividir el doble de la renta arrendaticia entre el número de habitaciones de la vivienda arrendada en los subarriendos parciales (art. 12 LAU 1964); no se le autorizaba a elevar la renta arrendaticia pero sí a participar en el precio del subarriendo en la cuantía convenida con el inquilino (art. 14.1 LAU 1964). </w:t>
      </w:r>
    </w:p>
    <w:p w:rsidR="00B54108" w:rsidRPr="00057DE9" w:rsidRDefault="00B54108" w:rsidP="00B54108">
      <w:pPr>
        <w:spacing w:line="360" w:lineRule="auto"/>
        <w:jc w:val="both"/>
        <w:rPr>
          <w:rFonts w:ascii="Arial" w:hAnsi="Arial" w:cs="Arial"/>
        </w:rPr>
      </w:pPr>
      <w:r w:rsidRPr="00057DE9">
        <w:rPr>
          <w:rFonts w:ascii="Arial" w:hAnsi="Arial" w:cs="Arial"/>
        </w:rPr>
        <w:lastRenderedPageBreak/>
        <w:t xml:space="preserve">El vigente art. 8.2 LAU 1994 reemplaza este sistema por el único mandato de que el precio del subarriendo no exceda, en ningún caso, del que corresponda al arrendamiento. </w:t>
      </w:r>
    </w:p>
    <w:p w:rsidR="00B54108" w:rsidRPr="00057DE9" w:rsidRDefault="00B54108" w:rsidP="00B54108">
      <w:pPr>
        <w:spacing w:line="360" w:lineRule="auto"/>
        <w:jc w:val="both"/>
        <w:rPr>
          <w:rFonts w:ascii="Arial" w:hAnsi="Arial" w:cs="Arial"/>
        </w:rPr>
      </w:pPr>
      <w:r w:rsidRPr="00057DE9">
        <w:rPr>
          <w:rFonts w:ascii="Arial" w:hAnsi="Arial" w:cs="Arial"/>
        </w:rPr>
        <w:t>Efectos del subarriendo</w:t>
      </w:r>
    </w:p>
    <w:p w:rsidR="00B54108" w:rsidRPr="00057DE9" w:rsidRDefault="00B54108" w:rsidP="00B54108">
      <w:pPr>
        <w:spacing w:line="360" w:lineRule="auto"/>
        <w:jc w:val="both"/>
        <w:rPr>
          <w:rFonts w:ascii="Arial" w:hAnsi="Arial" w:cs="Arial"/>
        </w:rPr>
      </w:pPr>
      <w:r w:rsidRPr="00057DE9">
        <w:rPr>
          <w:rFonts w:ascii="Arial" w:hAnsi="Arial" w:cs="Arial"/>
        </w:rPr>
        <w:t>• Subarriendo consentido</w:t>
      </w:r>
    </w:p>
    <w:p w:rsidR="00B54108" w:rsidRPr="00057DE9" w:rsidRDefault="00B54108" w:rsidP="00B54108">
      <w:pPr>
        <w:spacing w:line="360" w:lineRule="auto"/>
        <w:jc w:val="both"/>
        <w:rPr>
          <w:rFonts w:ascii="Arial" w:hAnsi="Arial" w:cs="Arial"/>
        </w:rPr>
      </w:pPr>
      <w:r w:rsidRPr="00057DE9">
        <w:rPr>
          <w:rFonts w:ascii="Arial" w:hAnsi="Arial" w:cs="Arial"/>
        </w:rPr>
        <w:t xml:space="preserve">La presencia de dos relaciones contractuales solapadas, de arrendamiento y subarrendamiento, da lugar a un triple nivel de relación: arrendador-arrendatario; subarrendador-subarrendatario y arrendador-subarrendatario. </w:t>
      </w:r>
    </w:p>
    <w:p w:rsidR="00B54108" w:rsidRPr="00057DE9" w:rsidRDefault="00B54108" w:rsidP="00B54108">
      <w:pPr>
        <w:spacing w:line="360" w:lineRule="auto"/>
        <w:jc w:val="both"/>
        <w:rPr>
          <w:rFonts w:ascii="Arial" w:hAnsi="Arial" w:cs="Arial"/>
        </w:rPr>
      </w:pPr>
      <w:r w:rsidRPr="00057DE9">
        <w:rPr>
          <w:rFonts w:ascii="Arial" w:hAnsi="Arial" w:cs="Arial"/>
        </w:rPr>
        <w:t xml:space="preserve">• En la relación arrendador-arrendatario no hay cambios. Si por culpa del segundo deja de existir el contrato, el subarrendatario no tiene derecho a seguir ocupando en base a su contrato, con independencia de que pueda luego reclamar al arrendatario por incumplimiento de sus propios compromisos, o por ser causante culpable de la resolución del contrato principal, a tenor del art. 1124 </w:t>
      </w:r>
      <w:proofErr w:type="spellStart"/>
      <w:r w:rsidRPr="00057DE9">
        <w:rPr>
          <w:rFonts w:ascii="Arial" w:hAnsi="Arial" w:cs="Arial"/>
        </w:rPr>
        <w:t>CCiv</w:t>
      </w:r>
      <w:proofErr w:type="spellEnd"/>
      <w:r w:rsidRPr="00057DE9">
        <w:rPr>
          <w:rFonts w:ascii="Arial" w:hAnsi="Arial" w:cs="Arial"/>
        </w:rPr>
        <w:t xml:space="preserve">, al que remite el art. 27 LAU 1994. </w:t>
      </w:r>
    </w:p>
    <w:p w:rsidR="00B54108" w:rsidRPr="00057DE9" w:rsidRDefault="00B54108" w:rsidP="00B54108">
      <w:pPr>
        <w:spacing w:line="360" w:lineRule="auto"/>
        <w:jc w:val="both"/>
        <w:rPr>
          <w:rFonts w:ascii="Arial" w:hAnsi="Arial" w:cs="Arial"/>
        </w:rPr>
      </w:pPr>
      <w:r w:rsidRPr="00057DE9">
        <w:rPr>
          <w:rFonts w:ascii="Arial" w:hAnsi="Arial" w:cs="Arial"/>
        </w:rPr>
        <w:t xml:space="preserve">• En punto al nexo contractual entre subarrendador y subarrendatario, el primero no puede cobrar al segundo mayor cantidad a la que esté pagando de renta por el arrendamiento, como queda dicho, lo cual significa, de un lado, renta en sentido lato, de la cantidad que se paga por el arrendamiento, incluidos gastos generales y cualquier otro tipo de repercusión permitida, y de otro lado, que la referencia es a todos los subarriendos de la finca arrendada, y no a cada subarriendo, esto es, que el subarrendatario no puede conseguir más cediendo parte de la vivienda que lo que tiene que abonar al arrendador. </w:t>
      </w:r>
    </w:p>
    <w:p w:rsidR="00B54108" w:rsidRPr="00057DE9" w:rsidRDefault="00B54108" w:rsidP="00B54108">
      <w:pPr>
        <w:spacing w:line="360" w:lineRule="auto"/>
        <w:jc w:val="both"/>
        <w:rPr>
          <w:rFonts w:ascii="Arial" w:hAnsi="Arial" w:cs="Arial"/>
        </w:rPr>
      </w:pPr>
      <w:r w:rsidRPr="00057DE9">
        <w:rPr>
          <w:rFonts w:ascii="Arial" w:hAnsi="Arial" w:cs="Arial"/>
        </w:rPr>
        <w:t>Además, sólo si el subarriendo resulta de parte de la vivienda que se destina a satisfacer la necesidad permanente de tal, será de aplicación toda la regulación de "</w:t>
      </w:r>
      <w:proofErr w:type="spellStart"/>
      <w:r w:rsidRPr="00057DE9">
        <w:rPr>
          <w:rFonts w:ascii="Arial" w:hAnsi="Arial" w:cs="Arial"/>
        </w:rPr>
        <w:t>ius</w:t>
      </w:r>
      <w:proofErr w:type="spellEnd"/>
      <w:r w:rsidRPr="00057DE9">
        <w:rPr>
          <w:rFonts w:ascii="Arial" w:hAnsi="Arial" w:cs="Arial"/>
        </w:rPr>
        <w:t xml:space="preserve"> </w:t>
      </w:r>
      <w:proofErr w:type="spellStart"/>
      <w:r w:rsidRPr="00057DE9">
        <w:rPr>
          <w:rFonts w:ascii="Arial" w:hAnsi="Arial" w:cs="Arial"/>
        </w:rPr>
        <w:t>cogens</w:t>
      </w:r>
      <w:proofErr w:type="spellEnd"/>
      <w:r w:rsidRPr="00057DE9">
        <w:rPr>
          <w:rFonts w:ascii="Arial" w:hAnsi="Arial" w:cs="Arial"/>
        </w:rPr>
        <w:t xml:space="preserve">" del Título II LAU 1994, mientras que si no lo es, por ejemplo, para disfrute de temporada, o alguno otro excluido de la funcionalidad de vivienda permanente, se trataría de un contrato locativo "para uso distinto", de modo que sería prioritaria la voluntad privada, y sólo supletoria la LAU 1994 (ya </w:t>
      </w:r>
      <w:r w:rsidRPr="00057DE9">
        <w:rPr>
          <w:rFonts w:ascii="Arial" w:hAnsi="Arial" w:cs="Arial"/>
        </w:rPr>
        <w:lastRenderedPageBreak/>
        <w:t xml:space="preserve">lo haya autorizado así el arrendador, o sencillamente sin que éste reaccione ante la evidencia). </w:t>
      </w:r>
    </w:p>
    <w:p w:rsidR="00B54108" w:rsidRPr="00057DE9" w:rsidRDefault="00B54108" w:rsidP="00B54108">
      <w:pPr>
        <w:spacing w:line="360" w:lineRule="auto"/>
        <w:jc w:val="both"/>
        <w:rPr>
          <w:rFonts w:ascii="Arial" w:hAnsi="Arial" w:cs="Arial"/>
        </w:rPr>
      </w:pPr>
      <w:r w:rsidRPr="00057DE9">
        <w:rPr>
          <w:rFonts w:ascii="Arial" w:hAnsi="Arial" w:cs="Arial"/>
        </w:rPr>
        <w:t xml:space="preserve">Tratándose, como es lo normal, de subarriendo de vivienda en sentido propio, la duración del mismo sigue el régimen del arrendamiento, de manera que no podrá pactarse un plazo inferior, ni extinguirse por expiración del tiempo con anterioridad. Sólo si el subarriendo es "para uso distinto", cabrá aplicar el acuerdo de las partes de un periodo de duración inferior al del arrendamiento. </w:t>
      </w:r>
    </w:p>
    <w:p w:rsidR="00B54108" w:rsidRPr="00057DE9" w:rsidRDefault="00B54108" w:rsidP="00B54108">
      <w:pPr>
        <w:spacing w:line="360" w:lineRule="auto"/>
        <w:jc w:val="both"/>
        <w:rPr>
          <w:rFonts w:ascii="Arial" w:hAnsi="Arial" w:cs="Arial"/>
        </w:rPr>
      </w:pPr>
      <w:r w:rsidRPr="00057DE9">
        <w:rPr>
          <w:rFonts w:ascii="Arial" w:hAnsi="Arial" w:cs="Arial"/>
        </w:rPr>
        <w:t xml:space="preserve">• En cuanto a las relaciones que pueden existir entre el arrendador y el subarrendatario, no puede tampoco extinguir el contrato de subarriendo fuera de las normas imperativas que coartan el arrendamiento de vivienda, salvo que haya autorizado un subarriendo "para uso distinto" que así lo convenga, habiendo fijando condiciones particulares al consentimiento, o concediendo libertad amplia al arrendatario para que pudiera ceder parcialmente la vivienda para usos distintos. </w:t>
      </w:r>
    </w:p>
    <w:p w:rsidR="00B54108" w:rsidRPr="00057DE9" w:rsidRDefault="00B54108" w:rsidP="00B54108">
      <w:pPr>
        <w:spacing w:line="360" w:lineRule="auto"/>
        <w:jc w:val="both"/>
        <w:rPr>
          <w:rFonts w:ascii="Arial" w:hAnsi="Arial" w:cs="Arial"/>
        </w:rPr>
      </w:pPr>
      <w:r w:rsidRPr="00057DE9">
        <w:rPr>
          <w:rFonts w:ascii="Arial" w:hAnsi="Arial" w:cs="Arial"/>
        </w:rPr>
        <w:t xml:space="preserve">Frente a la disciplina contenida en el art. 15 LAU 1964, que legitimaba al arrendador para postular del subarrendatario el abono de la renta arrendaticia y de su participación en el precio del subarriendo, así como la facultad ex art. 16 LAU 1964 de exigirle la reparación de los deterioros causados en la vivienda arrendada por su actuación dolosa o culposa, la LAU 1994 guarda silencio. </w:t>
      </w:r>
    </w:p>
    <w:p w:rsidR="00B54108" w:rsidRPr="00057DE9" w:rsidRDefault="00B54108" w:rsidP="00B54108">
      <w:pPr>
        <w:spacing w:line="360" w:lineRule="auto"/>
        <w:jc w:val="both"/>
        <w:rPr>
          <w:rFonts w:ascii="Arial" w:hAnsi="Arial" w:cs="Arial"/>
        </w:rPr>
      </w:pPr>
      <w:r w:rsidRPr="00057DE9">
        <w:rPr>
          <w:rFonts w:ascii="Arial" w:hAnsi="Arial" w:cs="Arial"/>
        </w:rPr>
        <w:t xml:space="preserve">La exigencia por el arrendador de un pago directo por el subarriendo supondría un fraude a la norma que no concibe prerrogativa de aquél la elevación de renta. Para lo demás, de todas formas, la relación arrendaticia y </w:t>
      </w:r>
      <w:proofErr w:type="spellStart"/>
      <w:r w:rsidRPr="00057DE9">
        <w:rPr>
          <w:rFonts w:ascii="Arial" w:hAnsi="Arial" w:cs="Arial"/>
        </w:rPr>
        <w:t>subarrendaticia</w:t>
      </w:r>
      <w:proofErr w:type="spellEnd"/>
      <w:r w:rsidRPr="00057DE9">
        <w:rPr>
          <w:rFonts w:ascii="Arial" w:hAnsi="Arial" w:cs="Arial"/>
        </w:rPr>
        <w:t xml:space="preserve"> no pueden funcionar a modo de compartimentos estancos, sino que se conectan a través de las consecuencias de determinados comportamientos contractuales del arrendatario, y por ello, el silencio legal debe ser suplido, conforme al sistema de fuentes diseñado por el art. 4.2 LAU 1994, por la voluntad de las partes y, en su defecto, por la normativa contenida en los arts. 1551 y 1552 </w:t>
      </w:r>
      <w:proofErr w:type="spellStart"/>
      <w:r w:rsidRPr="00057DE9">
        <w:rPr>
          <w:rFonts w:ascii="Arial" w:hAnsi="Arial" w:cs="Arial"/>
        </w:rPr>
        <w:t>CCiv</w:t>
      </w:r>
      <w:proofErr w:type="spellEnd"/>
      <w:r w:rsidRPr="00057DE9">
        <w:rPr>
          <w:rFonts w:ascii="Arial" w:hAnsi="Arial" w:cs="Arial"/>
        </w:rPr>
        <w:t xml:space="preserve">, en el sentido de que pervive la obligación del subarrendatario en orden a conservar la vivienda arrendada en la forma </w:t>
      </w:r>
      <w:r w:rsidRPr="00057DE9">
        <w:rPr>
          <w:rFonts w:ascii="Arial" w:hAnsi="Arial" w:cs="Arial"/>
        </w:rPr>
        <w:lastRenderedPageBreak/>
        <w:t xml:space="preserve">pactada en el contrato de arrendamiento, y de la acción directa del arrendador para instar del subarrendatario el abono del precio del subarriendo pendiente de pago. </w:t>
      </w:r>
    </w:p>
    <w:p w:rsidR="00B54108" w:rsidRPr="00057DE9" w:rsidRDefault="00B54108" w:rsidP="00B54108">
      <w:pPr>
        <w:spacing w:line="360" w:lineRule="auto"/>
        <w:jc w:val="both"/>
        <w:rPr>
          <w:rFonts w:ascii="Arial" w:hAnsi="Arial" w:cs="Arial"/>
        </w:rPr>
      </w:pPr>
      <w:r w:rsidRPr="00057DE9">
        <w:rPr>
          <w:rFonts w:ascii="Arial" w:hAnsi="Arial" w:cs="Arial"/>
        </w:rPr>
        <w:t xml:space="preserve">• Subarriendo </w:t>
      </w:r>
      <w:proofErr w:type="spellStart"/>
      <w:r w:rsidRPr="00057DE9">
        <w:rPr>
          <w:rFonts w:ascii="Arial" w:hAnsi="Arial" w:cs="Arial"/>
        </w:rPr>
        <w:t>inconsentido</w:t>
      </w:r>
      <w:proofErr w:type="spellEnd"/>
    </w:p>
    <w:p w:rsidR="00B54108" w:rsidRPr="00057DE9" w:rsidRDefault="00B54108" w:rsidP="00B54108">
      <w:pPr>
        <w:spacing w:line="360" w:lineRule="auto"/>
        <w:jc w:val="both"/>
        <w:rPr>
          <w:rFonts w:ascii="Arial" w:hAnsi="Arial" w:cs="Arial"/>
        </w:rPr>
      </w:pPr>
      <w:r w:rsidRPr="00057DE9">
        <w:rPr>
          <w:rFonts w:ascii="Arial" w:hAnsi="Arial" w:cs="Arial"/>
        </w:rPr>
        <w:t xml:space="preserve">La situación de hecho del subarriendo sin el formal consentimiento del arrendador, o sencillamente prohibido, cual subarriendo total, que se reputará cesión </w:t>
      </w:r>
      <w:proofErr w:type="spellStart"/>
      <w:r w:rsidRPr="00057DE9">
        <w:rPr>
          <w:rFonts w:ascii="Arial" w:hAnsi="Arial" w:cs="Arial"/>
        </w:rPr>
        <w:t>inconsentida</w:t>
      </w:r>
      <w:proofErr w:type="spellEnd"/>
      <w:r w:rsidRPr="00057DE9">
        <w:rPr>
          <w:rFonts w:ascii="Arial" w:hAnsi="Arial" w:cs="Arial"/>
        </w:rPr>
        <w:t xml:space="preserve">, confiere al arrendador una acción para postular la resolución del contrato de arrendamiento en el art. 27.2.c) LAU 1994, cuya estimación en el orden jurisdiccional provoca la extinción del subarriendo. </w:t>
      </w:r>
    </w:p>
    <w:p w:rsidR="00B54108" w:rsidRPr="00057DE9" w:rsidRDefault="00B54108" w:rsidP="00B54108">
      <w:pPr>
        <w:spacing w:line="360" w:lineRule="auto"/>
        <w:jc w:val="both"/>
        <w:rPr>
          <w:rFonts w:ascii="Arial" w:hAnsi="Arial" w:cs="Arial"/>
        </w:rPr>
      </w:pPr>
      <w:r w:rsidRPr="00057DE9">
        <w:rPr>
          <w:rFonts w:ascii="Arial" w:hAnsi="Arial" w:cs="Arial"/>
        </w:rPr>
        <w:t>Extinción del subarriendo</w:t>
      </w:r>
    </w:p>
    <w:p w:rsidR="00B54108" w:rsidRPr="00057DE9" w:rsidRDefault="00B54108" w:rsidP="00B54108">
      <w:pPr>
        <w:spacing w:line="360" w:lineRule="auto"/>
        <w:jc w:val="both"/>
        <w:rPr>
          <w:rFonts w:ascii="Arial" w:hAnsi="Arial" w:cs="Arial"/>
        </w:rPr>
      </w:pPr>
      <w:r w:rsidRPr="00057DE9">
        <w:rPr>
          <w:rFonts w:ascii="Arial" w:hAnsi="Arial" w:cs="Arial"/>
        </w:rPr>
        <w:t>El carácter accesorio del subarriendo provoca que el derecho del subarrendatario se extinga, en todo caso, cuando lo haga el del arrendatario que subarrendó (art. 8.2 párrafo 3.º LAU 1994).</w:t>
      </w:r>
    </w:p>
    <w:p w:rsidR="00B54108" w:rsidRPr="00057DE9" w:rsidRDefault="00B54108" w:rsidP="00B54108">
      <w:pPr>
        <w:spacing w:line="360" w:lineRule="auto"/>
        <w:jc w:val="both"/>
        <w:rPr>
          <w:rFonts w:ascii="Arial" w:hAnsi="Arial" w:cs="Arial"/>
        </w:rPr>
      </w:pPr>
      <w:r w:rsidRPr="00057DE9">
        <w:rPr>
          <w:rFonts w:ascii="Arial" w:hAnsi="Arial" w:cs="Arial"/>
        </w:rPr>
        <w:t xml:space="preserve">A pesar de que el subarriendo debe contar con la autorización previa y escrita del arrendador, se encuentra inexorablemente ligada al contrato de arrendamiento precedente, siguiendo la regla "resoluto iure </w:t>
      </w:r>
      <w:proofErr w:type="spellStart"/>
      <w:r w:rsidRPr="00057DE9">
        <w:rPr>
          <w:rFonts w:ascii="Arial" w:hAnsi="Arial" w:cs="Arial"/>
        </w:rPr>
        <w:t>dante</w:t>
      </w:r>
      <w:proofErr w:type="spellEnd"/>
      <w:r w:rsidRPr="00057DE9">
        <w:rPr>
          <w:rFonts w:ascii="Arial" w:hAnsi="Arial" w:cs="Arial"/>
        </w:rPr>
        <w:t xml:space="preserve">, </w:t>
      </w:r>
      <w:proofErr w:type="spellStart"/>
      <w:r w:rsidRPr="00057DE9">
        <w:rPr>
          <w:rFonts w:ascii="Arial" w:hAnsi="Arial" w:cs="Arial"/>
        </w:rPr>
        <w:t>resolvitur</w:t>
      </w:r>
      <w:proofErr w:type="spellEnd"/>
      <w:r w:rsidRPr="00057DE9">
        <w:rPr>
          <w:rFonts w:ascii="Arial" w:hAnsi="Arial" w:cs="Arial"/>
        </w:rPr>
        <w:t xml:space="preserve"> </w:t>
      </w:r>
      <w:proofErr w:type="spellStart"/>
      <w:r w:rsidRPr="00057DE9">
        <w:rPr>
          <w:rFonts w:ascii="Arial" w:hAnsi="Arial" w:cs="Arial"/>
        </w:rPr>
        <w:t>ius</w:t>
      </w:r>
      <w:proofErr w:type="spellEnd"/>
      <w:r w:rsidRPr="00057DE9">
        <w:rPr>
          <w:rFonts w:ascii="Arial" w:hAnsi="Arial" w:cs="Arial"/>
        </w:rPr>
        <w:t xml:space="preserve"> </w:t>
      </w:r>
      <w:proofErr w:type="spellStart"/>
      <w:r w:rsidRPr="00057DE9">
        <w:rPr>
          <w:rFonts w:ascii="Arial" w:hAnsi="Arial" w:cs="Arial"/>
        </w:rPr>
        <w:t>concessus</w:t>
      </w:r>
      <w:proofErr w:type="spellEnd"/>
      <w:r w:rsidRPr="00057DE9">
        <w:rPr>
          <w:rFonts w:ascii="Arial" w:hAnsi="Arial" w:cs="Arial"/>
        </w:rPr>
        <w:t xml:space="preserve">", de manera que resuelto el primer arrendamiento quedan también extinguidos o finados los que le siguieran. </w:t>
      </w:r>
    </w:p>
    <w:p w:rsidR="00A8486A" w:rsidRPr="00057DE9" w:rsidRDefault="00B54108" w:rsidP="00B54108">
      <w:pPr>
        <w:spacing w:line="360" w:lineRule="auto"/>
        <w:jc w:val="both"/>
        <w:rPr>
          <w:rFonts w:ascii="Arial" w:hAnsi="Arial" w:cs="Arial"/>
        </w:rPr>
      </w:pPr>
      <w:r w:rsidRPr="00057DE9">
        <w:rPr>
          <w:rFonts w:ascii="Arial" w:hAnsi="Arial" w:cs="Arial"/>
        </w:rPr>
        <w:t xml:space="preserve">De ahí la rancia doctrina jurisprudencial sobre que no existe imposición normativa ni motivo, por el que deba ser llamado al proceso resolutorio del contrato de arrendamiento al subarrendatario, dado que él no puede alegar ningún derecho propio frente al arrendador, siendo que la sentencia que recae en tal proceso sólo genera efectos reflejos o indirectos de cosa juzgada en la posición del subarrendatario (SSTS de 22 de abril de 1991, 11 de junio de 1991, 9 de junio de 1992, 14 de junio de 1994, 27 de noviembre de 1996, 31 de mayo de 1999 y 15 de julio de 1999). La situación litisconsorcial pasiva necesaria requiere una </w:t>
      </w:r>
      <w:proofErr w:type="spellStart"/>
      <w:r w:rsidRPr="00057DE9">
        <w:rPr>
          <w:rFonts w:ascii="Arial" w:hAnsi="Arial" w:cs="Arial"/>
        </w:rPr>
        <w:t>inescindibilidad</w:t>
      </w:r>
      <w:proofErr w:type="spellEnd"/>
      <w:r w:rsidRPr="00057DE9">
        <w:rPr>
          <w:rFonts w:ascii="Arial" w:hAnsi="Arial" w:cs="Arial"/>
        </w:rPr>
        <w:t xml:space="preserve"> del objeto de la pretensión, y otra cosa es la posibilidad de intervención adhesiva simple del subarrendatario ex art. 13 LEC. Ahora bien, como las últimas sentencias de la Sala I TS aclaran, resulta </w:t>
      </w:r>
      <w:r w:rsidRPr="00057DE9">
        <w:rPr>
          <w:rFonts w:ascii="Arial" w:hAnsi="Arial" w:cs="Arial"/>
        </w:rPr>
        <w:lastRenderedPageBreak/>
        <w:t xml:space="preserve">exigible, a la luz del art. 24 CE y desde la exégesis de la STC 58/1988, de 6 de abril de 1988, </w:t>
      </w:r>
      <w:proofErr w:type="spellStart"/>
      <w:r w:rsidRPr="00057DE9">
        <w:rPr>
          <w:rFonts w:ascii="Arial" w:hAnsi="Arial" w:cs="Arial"/>
        </w:rPr>
        <w:t>codemandar</w:t>
      </w:r>
      <w:proofErr w:type="spellEnd"/>
      <w:r w:rsidRPr="00057DE9">
        <w:rPr>
          <w:rFonts w:ascii="Arial" w:hAnsi="Arial" w:cs="Arial"/>
        </w:rPr>
        <w:t xml:space="preserve"> al subarrendatario o cesionario cuando lo que se discute en el juicio de desahucio es sobre la misma legitimidad de tal subarriendo, es decir, si se debate en el pleito que la introducción de terceros, que no se debate, estaba amparada o no en el contrato de arrendamiento, con lo que el subarrendatario ostenta una suerte de derecho propio "per se", al margen de cuando, por ejemplo, meramente se discute si hubo o no introducción </w:t>
      </w:r>
      <w:proofErr w:type="spellStart"/>
      <w:r w:rsidRPr="00057DE9">
        <w:rPr>
          <w:rFonts w:ascii="Arial" w:hAnsi="Arial" w:cs="Arial"/>
        </w:rPr>
        <w:t>inconsentida</w:t>
      </w:r>
      <w:proofErr w:type="spellEnd"/>
      <w:r w:rsidRPr="00057DE9">
        <w:rPr>
          <w:rFonts w:ascii="Arial" w:hAnsi="Arial" w:cs="Arial"/>
        </w:rPr>
        <w:t xml:space="preserve"> de terceros y su trascendencia resolutoria.</w:t>
      </w:r>
    </w:p>
    <w:p w:rsidR="00A8486A" w:rsidRPr="00057DE9" w:rsidRDefault="00A8486A" w:rsidP="00016DA3">
      <w:pPr>
        <w:spacing w:line="360" w:lineRule="auto"/>
        <w:jc w:val="both"/>
        <w:rPr>
          <w:rFonts w:ascii="Arial" w:hAnsi="Arial" w:cs="Arial"/>
        </w:rPr>
      </w:pPr>
    </w:p>
    <w:p w:rsidR="00AE708B" w:rsidRPr="00057DE9" w:rsidRDefault="00AE708B" w:rsidP="008C3059">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4B5793"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9009ED" w:rsidRPr="00057DE9" w:rsidRDefault="009009ED"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4B5793" w:rsidRPr="00057DE9" w:rsidRDefault="004B5793" w:rsidP="00245534">
      <w:pPr>
        <w:spacing w:line="360" w:lineRule="auto"/>
        <w:jc w:val="both"/>
        <w:rPr>
          <w:rFonts w:ascii="Arial" w:hAnsi="Arial" w:cs="Arial"/>
        </w:rPr>
      </w:pPr>
    </w:p>
    <w:p w:rsidR="00DB1736" w:rsidRPr="00057DE9" w:rsidRDefault="009009ED" w:rsidP="00245534">
      <w:pPr>
        <w:spacing w:line="360" w:lineRule="auto"/>
        <w:jc w:val="both"/>
        <w:rPr>
          <w:rFonts w:ascii="Arial" w:hAnsi="Arial" w:cs="Arial"/>
        </w:rPr>
      </w:pPr>
      <w:r w:rsidRPr="00057DE9">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057DE9" w:rsidRDefault="00DB1736" w:rsidP="00245534">
      <w:pPr>
        <w:spacing w:line="360" w:lineRule="auto"/>
        <w:jc w:val="both"/>
        <w:rPr>
          <w:rFonts w:ascii="Arial" w:hAnsi="Arial" w:cs="Arial"/>
        </w:rPr>
      </w:pPr>
    </w:p>
    <w:p w:rsidR="00DB1736" w:rsidRPr="00057DE9" w:rsidRDefault="00DB1736" w:rsidP="00245534">
      <w:pPr>
        <w:spacing w:line="360" w:lineRule="auto"/>
        <w:jc w:val="both"/>
        <w:rPr>
          <w:rFonts w:ascii="Arial" w:hAnsi="Arial" w:cs="Arial"/>
        </w:rPr>
      </w:pPr>
    </w:p>
    <w:p w:rsidR="00DB1736" w:rsidRPr="00057DE9" w:rsidRDefault="00DB1736" w:rsidP="00245534">
      <w:pPr>
        <w:spacing w:line="360" w:lineRule="auto"/>
        <w:jc w:val="both"/>
        <w:rPr>
          <w:rFonts w:ascii="Arial" w:hAnsi="Arial" w:cs="Arial"/>
        </w:rPr>
      </w:pPr>
    </w:p>
    <w:p w:rsidR="00DB1736" w:rsidRPr="00057DE9" w:rsidRDefault="00DB1736" w:rsidP="00245534">
      <w:pPr>
        <w:spacing w:line="360" w:lineRule="auto"/>
        <w:jc w:val="both"/>
        <w:rPr>
          <w:rFonts w:ascii="Arial" w:hAnsi="Arial" w:cs="Arial"/>
        </w:rPr>
      </w:pPr>
    </w:p>
    <w:p w:rsidR="00DB1736" w:rsidRPr="00057DE9" w:rsidRDefault="00DB1736" w:rsidP="00245534">
      <w:pPr>
        <w:spacing w:line="360" w:lineRule="auto"/>
        <w:jc w:val="both"/>
        <w:rPr>
          <w:rFonts w:ascii="Arial" w:hAnsi="Arial" w:cs="Arial"/>
        </w:rPr>
      </w:pPr>
    </w:p>
    <w:p w:rsidR="002821BC" w:rsidRPr="00057DE9" w:rsidRDefault="002821BC" w:rsidP="00245534">
      <w:pPr>
        <w:spacing w:line="360" w:lineRule="auto"/>
        <w:jc w:val="both"/>
        <w:rPr>
          <w:rFonts w:ascii="Arial" w:hAnsi="Arial" w:cs="Arial"/>
        </w:rPr>
      </w:pPr>
    </w:p>
    <w:p w:rsidR="00D02291" w:rsidRPr="00057DE9" w:rsidRDefault="00D02291" w:rsidP="009009ED">
      <w:pPr>
        <w:spacing w:line="360" w:lineRule="auto"/>
        <w:jc w:val="both"/>
        <w:rPr>
          <w:rFonts w:ascii="Arial" w:hAnsi="Arial" w:cs="Arial"/>
        </w:rPr>
      </w:pPr>
    </w:p>
    <w:sectPr w:rsidR="00D02291" w:rsidRPr="00057DE9"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E42" w:rsidRDefault="00A35E42">
      <w:r>
        <w:separator/>
      </w:r>
    </w:p>
  </w:endnote>
  <w:endnote w:type="continuationSeparator" w:id="0">
    <w:p w:rsidR="00A35E42" w:rsidRDefault="00A35E4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968FA"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968FA"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057DE9">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E42" w:rsidRDefault="00A35E42">
      <w:r>
        <w:separator/>
      </w:r>
    </w:p>
  </w:footnote>
  <w:footnote w:type="continuationSeparator" w:id="0">
    <w:p w:rsidR="00A35E42" w:rsidRDefault="00A35E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968F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968FA"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2968F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0518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159"/>
    <w:rsid w:val="00046A79"/>
    <w:rsid w:val="00051042"/>
    <w:rsid w:val="000516A3"/>
    <w:rsid w:val="00053264"/>
    <w:rsid w:val="0005441C"/>
    <w:rsid w:val="000546BE"/>
    <w:rsid w:val="0005559E"/>
    <w:rsid w:val="00057DE9"/>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8F5"/>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1688"/>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968FA"/>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61B5"/>
    <w:rsid w:val="002C68B7"/>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2CF2"/>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4999"/>
    <w:rsid w:val="00424E68"/>
    <w:rsid w:val="00425A5A"/>
    <w:rsid w:val="00430075"/>
    <w:rsid w:val="004310CD"/>
    <w:rsid w:val="00431D37"/>
    <w:rsid w:val="00433028"/>
    <w:rsid w:val="0043455A"/>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67015"/>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0755"/>
    <w:rsid w:val="0060154D"/>
    <w:rsid w:val="00605E0D"/>
    <w:rsid w:val="0061004A"/>
    <w:rsid w:val="0061073E"/>
    <w:rsid w:val="006202AF"/>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2FBF"/>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15575"/>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510C6"/>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35E42"/>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54108"/>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0169"/>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544D"/>
    <w:rsid w:val="00FA6D0F"/>
    <w:rsid w:val="00FA6E90"/>
    <w:rsid w:val="00FB0C8A"/>
    <w:rsid w:val="00FB1706"/>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5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32F6C-7E96-47BC-9CCC-45E2D791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1568</Words>
  <Characters>8626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10174</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2016-06-11T17:41:00Z</dcterms:created>
  <dcterms:modified xsi:type="dcterms:W3CDTF">2016-06-11T17:41:00Z</dcterms:modified>
</cp:coreProperties>
</file>